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1B" w:rsidRPr="0073623B" w:rsidRDefault="00AE741B" w:rsidP="00AE74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515620" cy="39878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1B" w:rsidRPr="0073623B" w:rsidRDefault="00AE741B" w:rsidP="00AE74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362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73623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Кіровський районний суд м. Кіровограда 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smartTag w:uri="urn:schemas-microsoft-com:office:smarttags" w:element="metricconverter">
        <w:smartTagPr>
          <w:attr w:name="ProductID" w:val="25013, м"/>
        </w:smartTagPr>
        <w:r w:rsidRPr="0073623B">
          <w:rPr>
            <w:rFonts w:ascii="Times New Roman" w:eastAsia="Times New Roman" w:hAnsi="Times New Roman" w:cs="Times New Roman"/>
            <w:b/>
            <w:sz w:val="25"/>
            <w:szCs w:val="25"/>
            <w:lang w:eastAsia="ru-RU"/>
          </w:rPr>
          <w:t>25013, м</w:t>
        </w:r>
      </w:smartTag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Кіровоград, вул. </w:t>
      </w:r>
      <w:proofErr w:type="spellStart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Габдрахманова</w:t>
      </w:r>
      <w:proofErr w:type="spellEnd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7, </w:t>
      </w:r>
      <w:proofErr w:type="spellStart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тел</w:t>
      </w:r>
      <w:proofErr w:type="spellEnd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33-00-90,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E-mail:</w:t>
      </w:r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ja-JP"/>
        </w:rPr>
        <w:t>inbox</w:t>
      </w:r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@kr</w:t>
      </w:r>
      <w:proofErr w:type="spellEnd"/>
      <w:r w:rsidRPr="0073623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kr.court.gov.ua   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  <w:proofErr w:type="spellStart"/>
      <w:r w:rsidRPr="0073623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Вих</w:t>
      </w:r>
      <w:proofErr w:type="spellEnd"/>
      <w:r w:rsidRPr="0073623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 №404/4243/24 __________ 2024 від  _________ 2024 року</w:t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  <w:t xml:space="preserve">    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4956" w:firstLine="708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</w:p>
    <w:p w:rsidR="00AE741B" w:rsidRPr="0073623B" w:rsidRDefault="00AE741B" w:rsidP="00AE741B">
      <w:pPr>
        <w:widowControl w:val="0"/>
        <w:suppressAutoHyphens/>
        <w:spacing w:after="0" w:line="240" w:lineRule="auto"/>
        <w:ind w:left="4956" w:firstLine="708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</w:p>
    <w:p w:rsidR="00AE741B" w:rsidRPr="0073623B" w:rsidRDefault="00AE741B" w:rsidP="00AE741B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Лободін</w:t>
      </w:r>
      <w:proofErr w:type="spellEnd"/>
      <w:r w:rsidRPr="0073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Олександрович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ab/>
        <w:t xml:space="preserve">вул. </w:t>
      </w:r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Молодіжна, 4, с. Травневе,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Луганська область, </w:t>
      </w:r>
      <w:proofErr w:type="spellStart"/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Міловського</w:t>
      </w:r>
      <w:proofErr w:type="spellEnd"/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540" w:firstLine="708"/>
        <w:rPr>
          <w:rFonts w:ascii="Times New Roman" w:eastAsia="Tahoma" w:hAnsi="Times New Roman" w:cs="Times New Roman"/>
          <w:sz w:val="25"/>
          <w:szCs w:val="25"/>
          <w:lang w:eastAsia="ru-RU"/>
        </w:rPr>
      </w:pPr>
    </w:p>
    <w:p w:rsidR="00AE741B" w:rsidRPr="0073623B" w:rsidRDefault="00AE741B" w:rsidP="00AE741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Кіровський </w:t>
      </w:r>
      <w:proofErr w:type="spellStart"/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районий</w:t>
      </w:r>
      <w:proofErr w:type="spellEnd"/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 м. Кіровограда викликає в судове засідання, призначене </w:t>
      </w:r>
      <w:r w:rsidRPr="0073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14 год. 00 хв. 23.07.2024 р. </w:t>
      </w:r>
      <w:r w:rsidRPr="0073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3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Лободіна</w:t>
      </w:r>
      <w:proofErr w:type="spellEnd"/>
      <w:r w:rsidRPr="0073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Володимира Олександровича</w:t>
      </w:r>
      <w:r w:rsidRPr="00736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08.10.1976 року народження</w:t>
      </w:r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який обвинувачується у  вчиненні </w:t>
      </w:r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кримінального правопорушення, передбаченого ч. 2 ст. 111 </w:t>
      </w:r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КК України. </w:t>
      </w:r>
      <w:r w:rsidRPr="007362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Судом роз’яснюється, що згідно ч. 4 ст. 315 КПК України під час підготовчого судового засідання суд роз’яснює обвинуваченому у вчиненні злочину, за який передбачено покарання у виді позбавлення волі на строк більше десяти років, право заявити клопотання про розгляд кримінального провадження стосовно нього колегіально судом у складі трьох суддів</w:t>
      </w:r>
      <w:r w:rsidRPr="007362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7362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іншому випадку розгляд справи здійснюватиметься судом одноособово. Судове засідання відбудеться в приміщені Кіровського районного суду м. Кіровограда за </w:t>
      </w:r>
      <w:proofErr w:type="spellStart"/>
      <w:r w:rsidRPr="007362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адресою</w:t>
      </w:r>
      <w:proofErr w:type="spellEnd"/>
      <w:r w:rsidRPr="007362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Кропивницький, вул. </w:t>
      </w:r>
      <w:proofErr w:type="spellStart"/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Габдрахманова</w:t>
      </w:r>
      <w:proofErr w:type="spellEnd"/>
      <w:r w:rsidRPr="0073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7. </w:t>
      </w:r>
      <w:r w:rsidRPr="0073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Явка до суду є обов’язковою. 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Ви викликаєтесь в судове засідання в якості </w:t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>обвинуваченого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. Ваша явка є обов’язковою! З собою необхідно мати документ, який посвідчує Вашу особу – паспорт.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right="-169"/>
        <w:jc w:val="center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>Поважні причини неприбуття особи на виклик суду згідно статті 138 КПК України: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1) затримання, тримання під вартою або відбування покарання;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2) обмеження свободи пересування внаслідок дії закону або судового рішення;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3) обставини непереборної сили (епідемії, військові події, стихійні лиха або інші подібні обставини);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4) відсутність особи у місці проживання протягом тривалого часу внаслідок відрядження, подорожі тощо;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5) тяжка хвороба або перебування в закладі охорони здоров'я у зв'язку з лікуванням або вагітністю за умови неможливості тимчасово залишити цей заклад;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6) смерть близьких родичів, членів сім'ї чи інших близьких осіб або серйозна загроза їхньому життю;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7) несвоєчасне одержання повістки про виклик;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>8) інші обставини, які об'єктивно унеможливлюють з'явлення особи на виклик.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Нагадуємо про обов’язок заздалегідь повідомити про неможливість з’явлення до суду.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ind w:left="318"/>
        <w:jc w:val="center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>Наслідки неприбуття за викликом суду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Наслідки неприбуття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підозрюваного, обвинуваченого, свідка, потерпілого, цивільного відповідача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передбачені статтею 139 КПК України, а також наслідки неприбуття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обвинуваченого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передбачені статтею 323 КПК України,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прокурора та захисника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- статтею 324 КПК України,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потерпілого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- статтею 325 КПК України,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цивільного позивача, цивільного відповідача та їх представників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- статтею 326 КПК України, </w:t>
      </w:r>
      <w:r w:rsidRPr="0073623B">
        <w:rPr>
          <w:rFonts w:ascii="Times New Roman" w:eastAsia="Tahoma" w:hAnsi="Times New Roman" w:cs="Times New Roman"/>
          <w:b/>
          <w:i/>
          <w:sz w:val="25"/>
          <w:szCs w:val="25"/>
          <w:lang w:eastAsia="ru-RU"/>
        </w:rPr>
        <w:t>свідка, спеціаліста, перекладача і експерта</w:t>
      </w:r>
      <w:r w:rsidRPr="0073623B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- статтею 327  КПК України.</w:t>
      </w:r>
    </w:p>
    <w:p w:rsidR="00AE741B" w:rsidRPr="0073623B" w:rsidRDefault="00AE741B" w:rsidP="00AE741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5"/>
          <w:szCs w:val="25"/>
          <w:lang w:eastAsia="ru-RU"/>
        </w:rPr>
      </w:pPr>
    </w:p>
    <w:p w:rsidR="00AE741B" w:rsidRPr="0073623B" w:rsidRDefault="00AE741B" w:rsidP="00AE741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>Суддя Кіровського районного суду</w:t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</w:p>
    <w:p w:rsidR="00AE741B" w:rsidRPr="0073623B" w:rsidRDefault="00AE741B" w:rsidP="00AE741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5"/>
          <w:szCs w:val="25"/>
          <w:lang w:eastAsia="ru-RU"/>
        </w:rPr>
      </w:pP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 xml:space="preserve">м. Кіровограда </w:t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</w:r>
      <w:r w:rsidRPr="0073623B">
        <w:rPr>
          <w:rFonts w:ascii="Times New Roman" w:eastAsia="Tahoma" w:hAnsi="Times New Roman" w:cs="Times New Roman"/>
          <w:b/>
          <w:sz w:val="25"/>
          <w:szCs w:val="25"/>
          <w:lang w:eastAsia="ru-RU"/>
        </w:rPr>
        <w:tab/>
        <w:t>Р.В. Бурко</w:t>
      </w:r>
    </w:p>
    <w:p w:rsidR="00AE741B" w:rsidRPr="0073623B" w:rsidRDefault="00AE741B" w:rsidP="00AE741B">
      <w:bookmarkStart w:id="0" w:name="_GoBack"/>
      <w:bookmarkEnd w:id="0"/>
    </w:p>
    <w:sectPr w:rsidR="00AE741B" w:rsidRPr="00736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741B"/>
    <w:rsid w:val="0073623B"/>
    <w:rsid w:val="00840F6A"/>
    <w:rsid w:val="00A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E42E67-0C00-4ED2-8B30-20EEA07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1771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</dc:creator>
  <cp:keywords/>
  <dc:description/>
  <cp:lastModifiedBy>Compukter</cp:lastModifiedBy>
  <cp:revision>5</cp:revision>
  <dcterms:created xsi:type="dcterms:W3CDTF">2024-05-30T11:46:00Z</dcterms:created>
  <dcterms:modified xsi:type="dcterms:W3CDTF">2024-06-03T07:18:00Z</dcterms:modified>
</cp:coreProperties>
</file>